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pacing w:line="300" w:lineRule="exact"/>
        <w:jc w:val="center"/>
        <w:rPr>
          <w:rFonts w:ascii="宋体" w:hAnsi="宋体" w:cs="宋体"/>
          <w:color w:val="333333"/>
          <w:szCs w:val="21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6"/>
          <w:szCs w:val="36"/>
          <w:shd w:val="clear" w:color="auto" w:fill="FFFFFF"/>
          <w:lang w:bidi="ar"/>
        </w:rPr>
        <w:t>诊断项目任务分解表</w:t>
      </w:r>
      <w:bookmarkEnd w:id="0"/>
    </w:p>
    <w:tbl>
      <w:tblPr>
        <w:tblStyle w:val="3"/>
        <w:tblpPr w:vertAnchor="text"/>
        <w:tblW w:w="8406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953"/>
        <w:gridCol w:w="2747"/>
        <w:gridCol w:w="1860"/>
        <w:gridCol w:w="7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bidi="ar"/>
              </w:rPr>
              <w:t>诊断项目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bidi="ar"/>
              </w:rPr>
              <w:t>诊断要素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bidi="ar"/>
              </w:rPr>
              <w:t>诊断点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bidi="ar"/>
              </w:rPr>
              <w:t>责任部门</w:t>
            </w:r>
          </w:p>
        </w:tc>
        <w:tc>
          <w:tcPr>
            <w:tcW w:w="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bidi="ar"/>
              </w:rPr>
              <w:t xml:space="preserve"> 责任 领导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1 体系总体构架</w:t>
            </w: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1.1质量保证理念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质量目标与定位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院办 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王波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质量保证规划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质量文化建设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 xml:space="preserve"> 院办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1.2组织构架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质量保证机构与分工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人事室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质量保证队伍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人事室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1.3制度构架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质量保证制度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执行与改进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1.4信息系统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信息采集与管理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信息中心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信息应用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信息中心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2 专业质量保证</w:t>
            </w: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2.1专业建设规划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规划制定与实施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徐森林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目标与标准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条件保障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 教务处人事室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2.2专业诊改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诊改制度与运行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系部教务处招生办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诊改效果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外部诊断（评估）结论应用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2.3课程质量保证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课程建设规划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目标与标准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 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诊改制度实施与效果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  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3 师资质量保证</w:t>
            </w: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3.1师资队伍建设规划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规划制定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人事室 系部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邹奇龙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实施保障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 人事室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3.2师资建设诊改工作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诊改制度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  人事室 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实施效果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系部  人事室 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4 学生全面发展保证</w:t>
            </w: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4.1育人体系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育人规划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学工处 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张世振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诊改制度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学工处 系部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实施与效果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学工处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4.2成长环境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安全与生活保障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总务处 学工处 保卫处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特殊学生群体服务与资助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学工处  资助中心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Cs w:val="21"/>
                <w:lang w:bidi="ar"/>
              </w:rPr>
              <w:t>5 体系运行效果</w:t>
            </w: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5.1外部环境改进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政策环境</w:t>
            </w:r>
          </w:p>
        </w:tc>
        <w:tc>
          <w:tcPr>
            <w:tcW w:w="18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院办</w:t>
            </w:r>
          </w:p>
        </w:tc>
        <w:tc>
          <w:tcPr>
            <w:tcW w:w="77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王波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资源环境</w:t>
            </w:r>
          </w:p>
        </w:tc>
        <w:tc>
          <w:tcPr>
            <w:tcW w:w="186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合作发展环境</w:t>
            </w:r>
          </w:p>
        </w:tc>
        <w:tc>
          <w:tcPr>
            <w:tcW w:w="186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校企办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5.2质量事故管控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 管控制度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院办  教务处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徐森林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发生率及影响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诊改办  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预警机制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诊改办  教务处</w:t>
            </w: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5.3质量保证效果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规划体系建设及效果</w:t>
            </w:r>
          </w:p>
        </w:tc>
        <w:tc>
          <w:tcPr>
            <w:tcW w:w="186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诊改办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徐森林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标准体系建设及效果</w:t>
            </w:r>
          </w:p>
        </w:tc>
        <w:tc>
          <w:tcPr>
            <w:tcW w:w="186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诊改机制建设及效果</w:t>
            </w:r>
          </w:p>
        </w:tc>
        <w:tc>
          <w:tcPr>
            <w:tcW w:w="1860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5.4体系特色</w:t>
            </w:r>
          </w:p>
        </w:tc>
        <w:tc>
          <w:tcPr>
            <w:tcW w:w="2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bidi="ar"/>
              </w:rPr>
              <w:t>学校质量保证体系特色</w:t>
            </w:r>
          </w:p>
        </w:tc>
        <w:tc>
          <w:tcPr>
            <w:tcW w:w="186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28C6"/>
    <w:rsid w:val="234328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2018-10-30T03:31:00Z</dcterms:created>
  <dc:creator>Administrator</dc:creator>
  <cp:lastModifiedBy>Administrator</cp:lastModifiedBy>
  <dcterms:modified xsi:type="dcterms:W3CDTF">2018-10-30T03:33:14Z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